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Default="000B01A4" w:rsidP="005A421C">
      <w:pPr>
        <w:spacing w:after="0"/>
        <w:ind w:left="720"/>
      </w:pPr>
    </w:p>
    <w:p w14:paraId="3C97A68C" w14:textId="20DD258C" w:rsidR="005A421C" w:rsidRPr="005A421C" w:rsidRDefault="005A421C" w:rsidP="005A421C">
      <w:pPr>
        <w:spacing w:after="0"/>
        <w:ind w:left="720"/>
        <w:rPr>
          <w:i/>
          <w:color w:val="0070C0"/>
        </w:rPr>
      </w:pPr>
      <w:r w:rsidRPr="005A421C">
        <w:rPr>
          <w:i/>
          <w:color w:val="0070C0"/>
        </w:rPr>
        <w:t>Law Enforcement Working Group</w:t>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4607AD33" w14:textId="77777777" w:rsidR="005A421C" w:rsidRDefault="005A421C" w:rsidP="005A421C">
      <w:pPr>
        <w:spacing w:after="0"/>
        <w:ind w:left="1080"/>
      </w:pPr>
    </w:p>
    <w:p w14:paraId="381FCA61" w14:textId="77777777" w:rsidR="005A421C" w:rsidRPr="005A421C" w:rsidRDefault="005A421C" w:rsidP="005A421C">
      <w:pPr>
        <w:spacing w:after="0"/>
        <w:ind w:left="720"/>
        <w:rPr>
          <w:i/>
          <w:color w:val="0070C0"/>
        </w:rPr>
      </w:pPr>
      <w:r w:rsidRPr="005A421C">
        <w:rPr>
          <w:i/>
          <w:color w:val="0070C0"/>
        </w:rPr>
        <w:t>Adam W. Page, Captain, Department of Public Safety, Nevada Highway Patrol</w:t>
      </w:r>
    </w:p>
    <w:p w14:paraId="388D752E" w14:textId="77777777" w:rsidR="005A421C" w:rsidRPr="005A421C" w:rsidRDefault="005A421C" w:rsidP="005A421C">
      <w:pPr>
        <w:spacing w:after="0"/>
        <w:ind w:left="720"/>
        <w:rPr>
          <w:i/>
          <w:color w:val="0070C0"/>
        </w:rPr>
      </w:pPr>
      <w:r w:rsidRPr="005A421C">
        <w:rPr>
          <w:i/>
          <w:color w:val="0070C0"/>
        </w:rPr>
        <w:t xml:space="preserve">Todd Raybuck, Captain, Las Vegas Metropolitan Police Department </w:t>
      </w:r>
    </w:p>
    <w:p w14:paraId="36FC0496" w14:textId="77777777" w:rsidR="005A421C" w:rsidRPr="005A421C" w:rsidRDefault="005A421C" w:rsidP="005A421C">
      <w:pPr>
        <w:spacing w:after="0"/>
        <w:ind w:left="720"/>
        <w:rPr>
          <w:i/>
          <w:color w:val="0070C0"/>
        </w:rPr>
      </w:pPr>
      <w:r w:rsidRPr="005A421C">
        <w:rPr>
          <w:i/>
          <w:color w:val="0070C0"/>
        </w:rPr>
        <w:t>Tina Talim, Deputy District Attorney, Clark County District Attorney’s Office</w:t>
      </w:r>
    </w:p>
    <w:p w14:paraId="33872415" w14:textId="65A01DF7" w:rsidR="005A421C" w:rsidRPr="005A421C" w:rsidRDefault="005A421C" w:rsidP="005A421C">
      <w:pPr>
        <w:spacing w:after="0"/>
        <w:ind w:left="720"/>
        <w:rPr>
          <w:i/>
          <w:color w:val="0070C0"/>
        </w:rPr>
      </w:pPr>
      <w:r w:rsidRPr="005A421C">
        <w:rPr>
          <w:i/>
          <w:color w:val="0070C0"/>
        </w:rPr>
        <w:t>Orestes Guerra, Captain, City of Henderson Police Department</w:t>
      </w:r>
    </w:p>
    <w:p w14:paraId="066FDDBE" w14:textId="77777777" w:rsidR="005A421C" w:rsidRPr="005A421C" w:rsidRDefault="005A421C" w:rsidP="005A421C">
      <w:pPr>
        <w:spacing w:after="0"/>
        <w:ind w:left="720"/>
        <w:rPr>
          <w:i/>
          <w:color w:val="0070C0"/>
        </w:rPr>
      </w:pPr>
      <w:r w:rsidRPr="005A421C">
        <w:rPr>
          <w:i/>
          <w:color w:val="0070C0"/>
        </w:rPr>
        <w:t>William Flinn, Deputy District Attorney, Clark County District Attorney’s Office</w:t>
      </w:r>
    </w:p>
    <w:p w14:paraId="268AA190" w14:textId="0C9A62FF" w:rsidR="005A421C" w:rsidRPr="005A421C" w:rsidRDefault="005A421C" w:rsidP="005A421C">
      <w:pPr>
        <w:spacing w:after="0"/>
        <w:ind w:left="720"/>
        <w:rPr>
          <w:i/>
          <w:color w:val="0070C0"/>
        </w:rPr>
      </w:pPr>
      <w:r w:rsidRPr="005A421C">
        <w:rPr>
          <w:i/>
          <w:color w:val="0070C0"/>
        </w:rPr>
        <w:t>John Piro, Clark County Public Defender’s Office</w:t>
      </w:r>
    </w:p>
    <w:p w14:paraId="16FCE777" w14:textId="77777777" w:rsidR="000B01A4" w:rsidRPr="003110FB" w:rsidRDefault="000B01A4"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Pr="003110FB" w:rsidRDefault="00E9081E" w:rsidP="00E9081E">
      <w:pPr>
        <w:spacing w:after="0"/>
      </w:pPr>
    </w:p>
    <w:p w14:paraId="20684F01" w14:textId="77777777" w:rsidR="005A421C" w:rsidRPr="005A421C" w:rsidRDefault="005A421C" w:rsidP="005A421C">
      <w:pPr>
        <w:tabs>
          <w:tab w:val="left" w:pos="8640"/>
        </w:tabs>
        <w:spacing w:after="0"/>
        <w:ind w:left="720" w:right="720"/>
        <w:jc w:val="both"/>
        <w:rPr>
          <w:i/>
          <w:color w:val="0070C0"/>
        </w:rPr>
      </w:pPr>
      <w:r w:rsidRPr="005A421C">
        <w:rPr>
          <w:i/>
          <w:color w:val="0070C0"/>
        </w:rPr>
        <w:t>On March 21, 2017, a recommendation was made to the Law Enforcement Work Group to review four specific statutes to determine if modification was appropriate.  After a thorough review and discussion, the review team is satisfied that three of the four statutes are appropriate as they stand.  We therefore are only recommending one statutorily change for consideration.  Specifically, the addition of subsection c under 453.411:</w:t>
      </w:r>
    </w:p>
    <w:p w14:paraId="64606637" w14:textId="77777777" w:rsidR="005A421C" w:rsidRPr="005A421C" w:rsidRDefault="005A421C" w:rsidP="005A421C">
      <w:pPr>
        <w:tabs>
          <w:tab w:val="left" w:pos="8640"/>
        </w:tabs>
        <w:spacing w:after="0"/>
        <w:ind w:left="720" w:right="720"/>
        <w:jc w:val="both"/>
        <w:rPr>
          <w:i/>
          <w:color w:val="0070C0"/>
        </w:rPr>
      </w:pPr>
    </w:p>
    <w:p w14:paraId="5CAB9681" w14:textId="77777777" w:rsidR="005A421C" w:rsidRPr="005A421C" w:rsidRDefault="005A421C" w:rsidP="005A421C">
      <w:pPr>
        <w:tabs>
          <w:tab w:val="left" w:pos="8640"/>
        </w:tabs>
        <w:spacing w:after="0"/>
        <w:ind w:left="720" w:right="720"/>
        <w:jc w:val="both"/>
        <w:rPr>
          <w:b/>
          <w:bCs/>
          <w:i/>
          <w:color w:val="0070C0"/>
        </w:rPr>
      </w:pPr>
      <w:r w:rsidRPr="005A421C">
        <w:rPr>
          <w:b/>
          <w:bCs/>
          <w:i/>
          <w:color w:val="0070C0"/>
        </w:rPr>
        <w:t xml:space="preserve">      </w:t>
      </w:r>
      <w:bookmarkStart w:id="1" w:name="NRS453Sec411"/>
      <w:bookmarkEnd w:id="1"/>
      <w:r w:rsidRPr="005A421C">
        <w:rPr>
          <w:b/>
          <w:bCs/>
          <w:i/>
          <w:color w:val="0070C0"/>
        </w:rPr>
        <w:t>NRS</w:t>
      </w:r>
      <w:r w:rsidRPr="005A421C">
        <w:rPr>
          <w:b/>
          <w:bCs/>
          <w:i/>
          <w:color w:val="0070C0"/>
        </w:rPr>
        <w:t> </w:t>
      </w:r>
      <w:r w:rsidRPr="005A421C">
        <w:rPr>
          <w:b/>
          <w:bCs/>
          <w:i/>
          <w:color w:val="0070C0"/>
        </w:rPr>
        <w:t>453.411</w:t>
      </w:r>
      <w:r w:rsidRPr="005A421C">
        <w:rPr>
          <w:b/>
          <w:bCs/>
          <w:i/>
          <w:color w:val="0070C0"/>
        </w:rPr>
        <w:t> </w:t>
      </w:r>
      <w:r w:rsidRPr="005A421C">
        <w:rPr>
          <w:b/>
          <w:bCs/>
          <w:i/>
          <w:color w:val="0070C0"/>
        </w:rPr>
        <w:t> </w:t>
      </w:r>
      <w:r w:rsidRPr="005A421C">
        <w:rPr>
          <w:b/>
          <w:bCs/>
          <w:i/>
          <w:color w:val="0070C0"/>
        </w:rPr>
        <w:t>Unlawful use of controlled substance; penalties.</w:t>
      </w:r>
    </w:p>
    <w:p w14:paraId="613E3E9E" w14:textId="77777777" w:rsidR="005A421C" w:rsidRPr="005A421C" w:rsidRDefault="005A421C" w:rsidP="005A421C">
      <w:pPr>
        <w:tabs>
          <w:tab w:val="left" w:pos="8640"/>
        </w:tabs>
        <w:spacing w:after="0"/>
        <w:ind w:left="720" w:right="720"/>
        <w:jc w:val="both"/>
        <w:rPr>
          <w:i/>
          <w:color w:val="0070C0"/>
        </w:rPr>
      </w:pPr>
    </w:p>
    <w:p w14:paraId="3DB9B518" w14:textId="77777777" w:rsidR="005A421C" w:rsidRPr="005A421C" w:rsidRDefault="005A421C" w:rsidP="005A421C">
      <w:pPr>
        <w:tabs>
          <w:tab w:val="left" w:pos="8640"/>
        </w:tabs>
        <w:spacing w:after="0"/>
        <w:ind w:left="1530" w:right="720" w:hanging="810"/>
        <w:jc w:val="both"/>
        <w:rPr>
          <w:i/>
          <w:color w:val="0070C0"/>
        </w:rPr>
      </w:pPr>
      <w:r w:rsidRPr="005A421C">
        <w:rPr>
          <w:i/>
          <w:color w:val="0070C0"/>
        </w:rPr>
        <w:t>      1.</w:t>
      </w:r>
      <w:r w:rsidRPr="005A421C">
        <w:rPr>
          <w:i/>
          <w:color w:val="0070C0"/>
        </w:rPr>
        <w:t> </w:t>
      </w:r>
      <w:r w:rsidRPr="005A421C">
        <w:rPr>
          <w:i/>
          <w:color w:val="0070C0"/>
        </w:rPr>
        <w:t> </w:t>
      </w:r>
      <w:r w:rsidRPr="005A421C">
        <w:rPr>
          <w:i/>
          <w:color w:val="0070C0"/>
        </w:rPr>
        <w:t>It is unlawful for a person knowingly to use or be under the influence of a controlled substance except in accordance with a lawfully issued prescription.</w:t>
      </w:r>
    </w:p>
    <w:p w14:paraId="2BF53028" w14:textId="77777777" w:rsidR="005A421C" w:rsidRPr="005A421C" w:rsidRDefault="005A421C" w:rsidP="005A421C">
      <w:pPr>
        <w:tabs>
          <w:tab w:val="left" w:pos="8640"/>
        </w:tabs>
        <w:spacing w:after="0"/>
        <w:ind w:left="1530" w:right="720" w:hanging="810"/>
        <w:jc w:val="both"/>
        <w:rPr>
          <w:i/>
          <w:color w:val="0070C0"/>
        </w:rPr>
      </w:pPr>
    </w:p>
    <w:p w14:paraId="18653895" w14:textId="77777777" w:rsidR="005A421C" w:rsidRDefault="005A421C" w:rsidP="005A421C">
      <w:pPr>
        <w:tabs>
          <w:tab w:val="left" w:pos="8640"/>
        </w:tabs>
        <w:spacing w:after="0"/>
        <w:ind w:left="1530" w:right="720" w:hanging="810"/>
        <w:jc w:val="both"/>
        <w:rPr>
          <w:i/>
          <w:color w:val="0070C0"/>
        </w:rPr>
      </w:pPr>
      <w:r w:rsidRPr="005A421C">
        <w:rPr>
          <w:i/>
          <w:color w:val="0070C0"/>
        </w:rPr>
        <w:t>      2.</w:t>
      </w:r>
      <w:r w:rsidRPr="005A421C">
        <w:rPr>
          <w:i/>
          <w:color w:val="0070C0"/>
        </w:rPr>
        <w:t> </w:t>
      </w:r>
      <w:r w:rsidRPr="005A421C">
        <w:rPr>
          <w:i/>
          <w:color w:val="0070C0"/>
        </w:rPr>
        <w:t> </w:t>
      </w:r>
      <w:r w:rsidRPr="005A421C">
        <w:rPr>
          <w:i/>
          <w:color w:val="0070C0"/>
        </w:rPr>
        <w:t>It is unlawful for a person knowingly to use or be under the influence of a controlled substance except when administered to the person at a rehabilitation clinic established or licensed by the Division of Public and Behavioral Health of the Department, or a hospital certified by the Department.</w:t>
      </w:r>
    </w:p>
    <w:p w14:paraId="2AA29253" w14:textId="77777777" w:rsidR="005A421C" w:rsidRPr="005A421C" w:rsidRDefault="005A421C" w:rsidP="005A421C">
      <w:pPr>
        <w:tabs>
          <w:tab w:val="left" w:pos="8640"/>
        </w:tabs>
        <w:spacing w:after="0"/>
        <w:ind w:left="1530" w:right="720" w:hanging="810"/>
        <w:jc w:val="both"/>
        <w:rPr>
          <w:i/>
          <w:color w:val="0070C0"/>
        </w:rPr>
      </w:pPr>
    </w:p>
    <w:p w14:paraId="7E385DF4" w14:textId="77777777" w:rsidR="005A421C" w:rsidRDefault="005A421C" w:rsidP="005A421C">
      <w:pPr>
        <w:tabs>
          <w:tab w:val="left" w:pos="8640"/>
        </w:tabs>
        <w:spacing w:after="0"/>
        <w:ind w:left="1440" w:right="720" w:hanging="720"/>
        <w:jc w:val="both"/>
        <w:rPr>
          <w:i/>
          <w:color w:val="0070C0"/>
        </w:rPr>
      </w:pPr>
      <w:r w:rsidRPr="005A421C">
        <w:rPr>
          <w:i/>
          <w:color w:val="0070C0"/>
        </w:rPr>
        <w:t>      3.</w:t>
      </w:r>
      <w:r w:rsidRPr="005A421C">
        <w:rPr>
          <w:i/>
          <w:color w:val="0070C0"/>
        </w:rPr>
        <w:t> </w:t>
      </w:r>
      <w:r w:rsidRPr="005A421C">
        <w:rPr>
          <w:i/>
          <w:color w:val="0070C0"/>
        </w:rPr>
        <w:t> </w:t>
      </w:r>
      <w:r w:rsidRPr="005A421C">
        <w:rPr>
          <w:i/>
          <w:color w:val="0070C0"/>
        </w:rPr>
        <w:t xml:space="preserve">Unless a greater penalty is provided in </w:t>
      </w:r>
      <w:hyperlink r:id="rId9" w:anchor="NRS212Sec160" w:history="1">
        <w:r w:rsidRPr="005A421C">
          <w:rPr>
            <w:rStyle w:val="Hyperlink"/>
            <w:i/>
            <w:color w:val="0070C0"/>
          </w:rPr>
          <w:t>NRS 212.160</w:t>
        </w:r>
      </w:hyperlink>
      <w:r w:rsidRPr="005A421C">
        <w:rPr>
          <w:i/>
          <w:color w:val="0070C0"/>
        </w:rPr>
        <w:t>, a person who violates this section shall be punished:</w:t>
      </w:r>
    </w:p>
    <w:p w14:paraId="39D436C5" w14:textId="77777777" w:rsidR="005A421C" w:rsidRPr="005A421C" w:rsidRDefault="005A421C" w:rsidP="005A421C">
      <w:pPr>
        <w:tabs>
          <w:tab w:val="left" w:pos="8640"/>
        </w:tabs>
        <w:spacing w:after="0"/>
        <w:ind w:left="1440" w:right="720" w:hanging="720"/>
        <w:jc w:val="both"/>
        <w:rPr>
          <w:i/>
          <w:color w:val="0070C0"/>
        </w:rPr>
      </w:pPr>
    </w:p>
    <w:p w14:paraId="70A6A4FA" w14:textId="48474374" w:rsidR="005A421C" w:rsidRDefault="005A421C" w:rsidP="005A421C">
      <w:pPr>
        <w:tabs>
          <w:tab w:val="left" w:pos="8640"/>
        </w:tabs>
        <w:spacing w:after="0"/>
        <w:ind w:left="1800" w:right="720" w:hanging="360"/>
        <w:jc w:val="both"/>
        <w:rPr>
          <w:i/>
          <w:color w:val="0070C0"/>
        </w:rPr>
      </w:pPr>
      <w:r w:rsidRPr="005A421C">
        <w:rPr>
          <w:i/>
          <w:color w:val="0070C0"/>
        </w:rPr>
        <w:t>      (a)</w:t>
      </w:r>
      <w:r w:rsidRPr="005A421C">
        <w:rPr>
          <w:i/>
          <w:color w:val="0070C0"/>
        </w:rPr>
        <w:t> </w:t>
      </w:r>
      <w:r w:rsidR="00327E43" w:rsidRPr="005A421C">
        <w:rPr>
          <w:i/>
          <w:color w:val="0070C0"/>
        </w:rPr>
        <w:t>if</w:t>
      </w:r>
      <w:r w:rsidRPr="005A421C">
        <w:rPr>
          <w:i/>
          <w:color w:val="0070C0"/>
        </w:rPr>
        <w:t xml:space="preserve"> the controlled substance is listed in schedule I, II, III or IV, for a category E felony as provided in </w:t>
      </w:r>
      <w:hyperlink r:id="rId10" w:anchor="NRS193Sec130" w:history="1">
        <w:r w:rsidRPr="005A421C">
          <w:rPr>
            <w:rStyle w:val="Hyperlink"/>
            <w:i/>
            <w:color w:val="0070C0"/>
          </w:rPr>
          <w:t>NRS 193.130</w:t>
        </w:r>
      </w:hyperlink>
      <w:r>
        <w:rPr>
          <w:i/>
          <w:color w:val="0070C0"/>
        </w:rPr>
        <w:t>.</w:t>
      </w:r>
    </w:p>
    <w:p w14:paraId="4ED843DC" w14:textId="77777777" w:rsidR="005A421C" w:rsidRDefault="005A421C" w:rsidP="005A421C">
      <w:pPr>
        <w:tabs>
          <w:tab w:val="left" w:pos="8640"/>
        </w:tabs>
        <w:spacing w:after="0"/>
        <w:ind w:left="1800" w:right="720" w:hanging="360"/>
        <w:jc w:val="both"/>
        <w:rPr>
          <w:i/>
          <w:color w:val="0070C0"/>
        </w:rPr>
      </w:pPr>
    </w:p>
    <w:p w14:paraId="4A886131" w14:textId="77777777" w:rsidR="005A421C" w:rsidRDefault="005A421C" w:rsidP="005A421C">
      <w:pPr>
        <w:tabs>
          <w:tab w:val="left" w:pos="8640"/>
        </w:tabs>
        <w:spacing w:after="0"/>
        <w:ind w:left="1800" w:right="720"/>
        <w:jc w:val="both"/>
        <w:rPr>
          <w:i/>
          <w:color w:val="0070C0"/>
        </w:rPr>
      </w:pPr>
      <w:r>
        <w:rPr>
          <w:i/>
          <w:color w:val="0070C0"/>
        </w:rPr>
        <w:t xml:space="preserve">(b) </w:t>
      </w:r>
      <w:r w:rsidRPr="005A421C">
        <w:rPr>
          <w:i/>
          <w:color w:val="0070C0"/>
        </w:rPr>
        <w:t>If the controlled substance is listed in schedule V, for a gross misdemeanor by imprisonment in the county jail for not more than 364 days, and may be further punished by a fine of not more than $1,000.</w:t>
      </w:r>
    </w:p>
    <w:p w14:paraId="055850E8" w14:textId="77777777" w:rsidR="005A421C" w:rsidRDefault="005A421C" w:rsidP="005A421C">
      <w:pPr>
        <w:tabs>
          <w:tab w:val="left" w:pos="8640"/>
        </w:tabs>
        <w:spacing w:after="0"/>
        <w:ind w:left="1800" w:right="720"/>
        <w:jc w:val="both"/>
        <w:rPr>
          <w:i/>
          <w:color w:val="0070C0"/>
        </w:rPr>
      </w:pPr>
    </w:p>
    <w:p w14:paraId="75F16EDE" w14:textId="5229E740" w:rsidR="00E9081E" w:rsidRPr="005A421C" w:rsidRDefault="005A421C" w:rsidP="005A421C">
      <w:pPr>
        <w:tabs>
          <w:tab w:val="left" w:pos="8640"/>
        </w:tabs>
        <w:spacing w:after="0"/>
        <w:ind w:left="1800" w:right="720"/>
        <w:jc w:val="both"/>
        <w:rPr>
          <w:i/>
          <w:color w:val="0070C0"/>
        </w:rPr>
      </w:pPr>
      <w:r w:rsidRPr="005A421C">
        <w:rPr>
          <w:i/>
          <w:color w:val="FF0000"/>
        </w:rPr>
        <w:lastRenderedPageBreak/>
        <w:t>(c) For persons under 21 years of age, if the controlled substance is marijuana, for a misdemeanor.</w:t>
      </w:r>
    </w:p>
    <w:p w14:paraId="4A3730F6" w14:textId="77777777" w:rsidR="00E9081E" w:rsidRPr="003110FB" w:rsidRDefault="00E9081E" w:rsidP="00E9081E">
      <w:pPr>
        <w:pStyle w:val="ListParagraph"/>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2FFEFA58" w14:textId="77777777" w:rsidR="00E9081E" w:rsidRPr="003110FB" w:rsidRDefault="00E9081E" w:rsidP="00E9081E">
      <w:pPr>
        <w:spacing w:after="0"/>
      </w:pPr>
    </w:p>
    <w:p w14:paraId="2DC7E08C" w14:textId="2C995CD7" w:rsidR="00E9081E" w:rsidRDefault="005A421C" w:rsidP="00155D5A">
      <w:pPr>
        <w:pStyle w:val="ListParagraph"/>
        <w:ind w:right="720"/>
        <w:jc w:val="both"/>
        <w:rPr>
          <w:i/>
          <w:color w:val="0070C0"/>
        </w:rPr>
      </w:pPr>
      <w:r w:rsidRPr="005A421C">
        <w:rPr>
          <w:i/>
          <w:color w:val="0070C0"/>
        </w:rPr>
        <w:t>Guiding Principle 3 - Ensure that youth are protected from the risks associated with marijuana, including preventing the diversion of marijuana to anyone under the age of 21.</w:t>
      </w:r>
    </w:p>
    <w:p w14:paraId="128B6EBD" w14:textId="77777777" w:rsidR="005A421C" w:rsidRPr="005A421C" w:rsidRDefault="005A421C" w:rsidP="00155D5A">
      <w:pPr>
        <w:pStyle w:val="ListParagraph"/>
        <w:ind w:right="720"/>
        <w:jc w:val="both"/>
        <w:rPr>
          <w:i/>
          <w:color w:val="0070C0"/>
        </w:rPr>
      </w:pPr>
    </w:p>
    <w:p w14:paraId="67FE160D" w14:textId="77777777" w:rsidR="00E9081E" w:rsidRPr="003110FB" w:rsidRDefault="00E9081E" w:rsidP="00155D5A">
      <w:pPr>
        <w:pStyle w:val="ListParagraph"/>
        <w:numPr>
          <w:ilvl w:val="0"/>
          <w:numId w:val="1"/>
        </w:numPr>
        <w:spacing w:after="0"/>
        <w:ind w:right="720"/>
      </w:pPr>
      <w:r w:rsidRPr="003110FB">
        <w:t xml:space="preserve">What provision(s) of Question 2 does this recommendation apply to?  </w:t>
      </w:r>
    </w:p>
    <w:p w14:paraId="19A0DD99" w14:textId="77777777" w:rsidR="00E9081E" w:rsidRPr="003110FB" w:rsidRDefault="00E9081E" w:rsidP="00155D5A">
      <w:pPr>
        <w:pStyle w:val="ListParagraph"/>
        <w:spacing w:after="0"/>
        <w:ind w:right="720"/>
      </w:pPr>
    </w:p>
    <w:p w14:paraId="69CD44D4" w14:textId="77777777" w:rsidR="005A421C" w:rsidRPr="005A421C" w:rsidRDefault="005A421C" w:rsidP="00155D5A">
      <w:pPr>
        <w:pStyle w:val="ListParagraph"/>
        <w:spacing w:after="0"/>
        <w:ind w:right="720"/>
        <w:jc w:val="both"/>
        <w:rPr>
          <w:i/>
          <w:color w:val="0070C0"/>
        </w:rPr>
      </w:pPr>
      <w:r w:rsidRPr="005A421C">
        <w:rPr>
          <w:i/>
          <w:color w:val="0070C0"/>
        </w:rPr>
        <w:t>Under current law, a person under the age of 21 who is determined to be under the influence of marijuana is guilty of a Category E Felony.  Question 2 does not reduce the penalty.  The work group submits that keeping current statute is not in line with the people’s proclamation as the following laws are classified as misdemeanors for persons under 21 years of age:</w:t>
      </w:r>
    </w:p>
    <w:p w14:paraId="02D6558E" w14:textId="77777777" w:rsidR="005A421C" w:rsidRPr="005A421C" w:rsidRDefault="005A421C" w:rsidP="00155D5A">
      <w:pPr>
        <w:pStyle w:val="ListParagraph"/>
        <w:spacing w:after="0"/>
        <w:ind w:right="720"/>
        <w:jc w:val="both"/>
        <w:rPr>
          <w:i/>
          <w:color w:val="0070C0"/>
        </w:rPr>
      </w:pPr>
    </w:p>
    <w:p w14:paraId="739CE892" w14:textId="77777777" w:rsidR="005A421C" w:rsidRPr="005A421C" w:rsidRDefault="005A421C" w:rsidP="00155D5A">
      <w:pPr>
        <w:pStyle w:val="ListParagraph"/>
        <w:numPr>
          <w:ilvl w:val="0"/>
          <w:numId w:val="3"/>
        </w:numPr>
        <w:spacing w:after="0"/>
        <w:ind w:right="720"/>
        <w:jc w:val="both"/>
        <w:rPr>
          <w:i/>
          <w:color w:val="0070C0"/>
        </w:rPr>
      </w:pPr>
      <w:r w:rsidRPr="005A421C">
        <w:rPr>
          <w:i/>
          <w:color w:val="0070C0"/>
        </w:rPr>
        <w:t>Possession of Marijuana, Less Than One Ounce (NRS 453.336)</w:t>
      </w:r>
    </w:p>
    <w:p w14:paraId="65932DE3" w14:textId="77777777" w:rsidR="005A421C" w:rsidRPr="005A421C" w:rsidRDefault="005A421C" w:rsidP="00155D5A">
      <w:pPr>
        <w:pStyle w:val="ListParagraph"/>
        <w:numPr>
          <w:ilvl w:val="0"/>
          <w:numId w:val="3"/>
        </w:numPr>
        <w:spacing w:after="0"/>
        <w:ind w:right="720"/>
        <w:jc w:val="both"/>
        <w:rPr>
          <w:i/>
          <w:color w:val="0070C0"/>
        </w:rPr>
      </w:pPr>
      <w:r w:rsidRPr="005A421C">
        <w:rPr>
          <w:i/>
          <w:color w:val="0070C0"/>
        </w:rPr>
        <w:t>Driving Under the Influence of Marijuana (NRS 484C.110)</w:t>
      </w:r>
    </w:p>
    <w:p w14:paraId="6F94D212" w14:textId="2C1DCF90" w:rsidR="005A421C" w:rsidRPr="00155D5A" w:rsidRDefault="005A421C" w:rsidP="00155D5A">
      <w:pPr>
        <w:pStyle w:val="ListParagraph"/>
        <w:numPr>
          <w:ilvl w:val="0"/>
          <w:numId w:val="3"/>
        </w:numPr>
        <w:spacing w:after="0"/>
        <w:ind w:right="720"/>
        <w:jc w:val="both"/>
        <w:rPr>
          <w:i/>
          <w:color w:val="0070C0"/>
        </w:rPr>
      </w:pPr>
      <w:r w:rsidRPr="005A421C">
        <w:rPr>
          <w:i/>
          <w:color w:val="0070C0"/>
        </w:rPr>
        <w:t>Minor in Consumption of Alcohol (NRS 202.020)</w:t>
      </w:r>
    </w:p>
    <w:p w14:paraId="6C85577C" w14:textId="77777777" w:rsidR="00E9081E" w:rsidRPr="003110FB" w:rsidRDefault="00E9081E" w:rsidP="00155D5A">
      <w:pPr>
        <w:pStyle w:val="ListParagraph"/>
        <w:spacing w:after="0"/>
        <w:ind w:right="720"/>
      </w:pPr>
    </w:p>
    <w:p w14:paraId="527A1772" w14:textId="77777777" w:rsidR="007A4A8C" w:rsidRDefault="00E9081E" w:rsidP="00155D5A">
      <w:pPr>
        <w:pStyle w:val="ListParagraph"/>
        <w:numPr>
          <w:ilvl w:val="0"/>
          <w:numId w:val="1"/>
        </w:numPr>
        <w:spacing w:after="0"/>
        <w:ind w:right="720"/>
      </w:pPr>
      <w:r w:rsidRPr="003110FB">
        <w:t>What issue(s) does the recommendation resolve?</w:t>
      </w:r>
    </w:p>
    <w:p w14:paraId="0D32590C" w14:textId="77777777" w:rsidR="00155D5A" w:rsidRDefault="00155D5A" w:rsidP="00155D5A">
      <w:pPr>
        <w:spacing w:after="0"/>
        <w:ind w:right="720"/>
      </w:pPr>
    </w:p>
    <w:p w14:paraId="1377ECA8" w14:textId="0EB0A44D" w:rsidR="001B0ADC" w:rsidRPr="00155D5A" w:rsidRDefault="00155D5A" w:rsidP="00155D5A">
      <w:pPr>
        <w:pStyle w:val="ListParagraph"/>
        <w:spacing w:after="0"/>
        <w:ind w:right="720"/>
        <w:jc w:val="both"/>
        <w:rPr>
          <w:i/>
          <w:color w:val="0070C0"/>
        </w:rPr>
      </w:pPr>
      <w:r w:rsidRPr="005A421C">
        <w:rPr>
          <w:i/>
          <w:color w:val="0070C0"/>
        </w:rPr>
        <w:t xml:space="preserve">This recommendation will resolve the inconsistency in criminal penalties when a person under 21 years of age is determine to be under the influence of marijuana.  </w:t>
      </w: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D82C42D" w:rsidR="00E9081E" w:rsidRDefault="00E9081E" w:rsidP="00E9081E">
      <w:pPr>
        <w:spacing w:after="0"/>
      </w:pPr>
    </w:p>
    <w:p w14:paraId="695679BB" w14:textId="0DEE535F" w:rsidR="00E9081E" w:rsidRPr="00155D5A" w:rsidRDefault="00155D5A" w:rsidP="00155D5A">
      <w:pPr>
        <w:spacing w:after="0"/>
        <w:ind w:firstLine="720"/>
        <w:rPr>
          <w:i/>
          <w:color w:val="0070C0"/>
        </w:rPr>
      </w:pPr>
      <w:r w:rsidRPr="00155D5A">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725CD4F6" w14:textId="01FE1B6D" w:rsidR="00E9081E" w:rsidRPr="00155D5A" w:rsidRDefault="00155D5A" w:rsidP="00155D5A">
      <w:pPr>
        <w:pStyle w:val="ListParagraph"/>
        <w:spacing w:after="0"/>
        <w:ind w:right="720"/>
        <w:rPr>
          <w:i/>
          <w:color w:val="0070C0"/>
        </w:rPr>
      </w:pPr>
      <w:r w:rsidRPr="00155D5A">
        <w:rPr>
          <w:i/>
          <w:color w:val="0070C0"/>
        </w:rPr>
        <w:t xml:space="preserve">A request to amend Nevada Revised Statute 453.411 will need to be submitted and approved by the Nevada Legislature. </w:t>
      </w:r>
    </w:p>
    <w:p w14:paraId="6E62C578" w14:textId="77777777" w:rsidR="00E9081E" w:rsidRPr="003110FB" w:rsidRDefault="00E9081E" w:rsidP="00E9081E">
      <w:pPr>
        <w:pStyle w:val="ListParagraph"/>
        <w:spacing w:after="0"/>
      </w:pPr>
    </w:p>
    <w:p w14:paraId="1EC95596" w14:textId="764A9C93"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327E43" w:rsidRPr="003110FB">
        <w:t>etc.</w:t>
      </w:r>
      <w:r w:rsidRPr="003110FB">
        <w:t>)</w:t>
      </w:r>
      <w:r w:rsidR="00B70E4E" w:rsidRPr="003110FB">
        <w:t>.</w:t>
      </w:r>
    </w:p>
    <w:p w14:paraId="0C6EE38A" w14:textId="77777777" w:rsidR="00155D5A" w:rsidRDefault="00155D5A" w:rsidP="00155D5A">
      <w:pPr>
        <w:pStyle w:val="ListParagraph"/>
        <w:spacing w:after="0"/>
      </w:pPr>
    </w:p>
    <w:p w14:paraId="331BECB8" w14:textId="4A6E3A1A" w:rsidR="00155D5A" w:rsidRPr="00155D5A" w:rsidRDefault="00155D5A" w:rsidP="00155D5A">
      <w:pPr>
        <w:pStyle w:val="ListParagraph"/>
        <w:spacing w:after="0"/>
      </w:pPr>
      <w:r w:rsidRPr="00155D5A">
        <w:rPr>
          <w:i/>
          <w:color w:val="0070C0"/>
        </w:rPr>
        <w:t>There will be no costs associated with this recommendation</w:t>
      </w:r>
    </w:p>
    <w:p w14:paraId="151BEECB" w14:textId="77777777" w:rsidR="00155D5A" w:rsidRPr="003110FB" w:rsidRDefault="00155D5A" w:rsidP="00155D5A">
      <w:pPr>
        <w:pStyle w:val="ListParagraph"/>
        <w:spacing w:after="0"/>
      </w:pPr>
    </w:p>
    <w:p w14:paraId="6BBB2368" w14:textId="77777777" w:rsidR="00753FA6" w:rsidRPr="003110FB" w:rsidRDefault="00753FA6" w:rsidP="007A4A8C">
      <w:pPr>
        <w:spacing w:after="0"/>
      </w:pPr>
    </w:p>
    <w:p w14:paraId="054A4F76" w14:textId="01B7C513" w:rsidR="00753FA6" w:rsidRPr="00753FA6" w:rsidRDefault="00753FA6" w:rsidP="009201F4">
      <w:pPr>
        <w:spacing w:after="0"/>
        <w:ind w:left="810" w:hanging="90"/>
        <w:rPr>
          <w:b/>
          <w:sz w:val="18"/>
          <w:szCs w:val="18"/>
        </w:rPr>
      </w:pPr>
    </w:p>
    <w:sectPr w:rsidR="00753FA6" w:rsidRPr="00753FA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0F6F" w14:textId="77777777" w:rsidR="008D5094" w:rsidRDefault="008D5094" w:rsidP="00391997">
      <w:pPr>
        <w:spacing w:after="0" w:line="240" w:lineRule="auto"/>
      </w:pPr>
      <w:r>
        <w:separator/>
      </w:r>
    </w:p>
  </w:endnote>
  <w:endnote w:type="continuationSeparator" w:id="0">
    <w:p w14:paraId="35DDD960" w14:textId="77777777" w:rsidR="008D5094" w:rsidRDefault="008D5094"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1857DCCA"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80002C">
      <w:rPr>
        <w:rFonts w:ascii="Calibri" w:eastAsia="Times New Roman" w:hAnsi="Calibri" w:cs="Times New Roman"/>
        <w:b/>
        <w:i/>
        <w:color w:val="3737A5"/>
        <w:sz w:val="16"/>
        <w:szCs w:val="16"/>
      </w:rPr>
      <w:t>Statutory Change for Persons Under 21 Years of Age</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80002C">
      <w:rPr>
        <w:rFonts w:ascii="Calibri" w:eastAsia="Times New Roman" w:hAnsi="Calibri" w:cs="Times New Roman"/>
        <w:bCs/>
        <w:i/>
        <w:color w:val="3737A5"/>
        <w:sz w:val="16"/>
        <w:szCs w:val="16"/>
      </w:rPr>
      <w:t>March 31</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5F76" w14:textId="77777777" w:rsidR="008D5094" w:rsidRDefault="008D5094" w:rsidP="00391997">
      <w:pPr>
        <w:spacing w:after="0" w:line="240" w:lineRule="auto"/>
      </w:pPr>
      <w:r>
        <w:separator/>
      </w:r>
    </w:p>
  </w:footnote>
  <w:footnote w:type="continuationSeparator" w:id="0">
    <w:p w14:paraId="4BA5EE8B" w14:textId="77777777" w:rsidR="008D5094" w:rsidRDefault="008D5094"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2967837E" w:rsidR="00F43822" w:rsidRPr="00F43822" w:rsidRDefault="0080002C" w:rsidP="008313F9">
    <w:pPr>
      <w:pStyle w:val="Heading2"/>
      <w:ind w:left="0"/>
      <w:jc w:val="center"/>
      <w:rPr>
        <w:sz w:val="22"/>
        <w:szCs w:val="22"/>
      </w:rPr>
    </w:pPr>
    <w:r>
      <w:rPr>
        <w:sz w:val="22"/>
        <w:szCs w:val="22"/>
      </w:rPr>
      <w:t>Statutory Change for Persons Under 21 Years of Age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CB"/>
    <w:multiLevelType w:val="hybridMultilevel"/>
    <w:tmpl w:val="D80E44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FD5ECF"/>
    <w:multiLevelType w:val="hybridMultilevel"/>
    <w:tmpl w:val="EF04F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55D5A"/>
    <w:rsid w:val="001866F9"/>
    <w:rsid w:val="001B0ADC"/>
    <w:rsid w:val="001B10FF"/>
    <w:rsid w:val="00202E4C"/>
    <w:rsid w:val="0023729A"/>
    <w:rsid w:val="002B316D"/>
    <w:rsid w:val="003110FB"/>
    <w:rsid w:val="00327E43"/>
    <w:rsid w:val="00391997"/>
    <w:rsid w:val="004039AB"/>
    <w:rsid w:val="00435662"/>
    <w:rsid w:val="00442A3F"/>
    <w:rsid w:val="00565923"/>
    <w:rsid w:val="005A421C"/>
    <w:rsid w:val="005E102D"/>
    <w:rsid w:val="006B0A7E"/>
    <w:rsid w:val="006D4662"/>
    <w:rsid w:val="00700DCA"/>
    <w:rsid w:val="00753FA6"/>
    <w:rsid w:val="007746E2"/>
    <w:rsid w:val="00774894"/>
    <w:rsid w:val="007765FD"/>
    <w:rsid w:val="007A4A8C"/>
    <w:rsid w:val="0080002C"/>
    <w:rsid w:val="008313F9"/>
    <w:rsid w:val="00882EE9"/>
    <w:rsid w:val="008D5094"/>
    <w:rsid w:val="008F0634"/>
    <w:rsid w:val="009201F4"/>
    <w:rsid w:val="009264B2"/>
    <w:rsid w:val="00957E83"/>
    <w:rsid w:val="00961D8A"/>
    <w:rsid w:val="009805E6"/>
    <w:rsid w:val="00996A51"/>
    <w:rsid w:val="009D1938"/>
    <w:rsid w:val="00A312E6"/>
    <w:rsid w:val="00A65F54"/>
    <w:rsid w:val="00AB71F7"/>
    <w:rsid w:val="00B11C15"/>
    <w:rsid w:val="00B70E4E"/>
    <w:rsid w:val="00BC0B03"/>
    <w:rsid w:val="00BC0F10"/>
    <w:rsid w:val="00BF6BBC"/>
    <w:rsid w:val="00C5484B"/>
    <w:rsid w:val="00CC30A8"/>
    <w:rsid w:val="00D22E65"/>
    <w:rsid w:val="00D926ED"/>
    <w:rsid w:val="00DA287B"/>
    <w:rsid w:val="00DC4C91"/>
    <w:rsid w:val="00DD1A10"/>
    <w:rsid w:val="00DE0ABD"/>
    <w:rsid w:val="00E9081E"/>
    <w:rsid w:val="00E96CEA"/>
    <w:rsid w:val="00EC03A5"/>
    <w:rsid w:val="00F046BC"/>
    <w:rsid w:val="00F27CF2"/>
    <w:rsid w:val="00F43822"/>
    <w:rsid w:val="00FC1FA5"/>
    <w:rsid w:val="00FE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state.nv.us/Division/Legal/LawLibrary/NRS/NRS-193.html" TargetMode="External"/><Relationship Id="rId4" Type="http://schemas.microsoft.com/office/2007/relationships/stylesWithEffects" Target="stylesWithEffects.xml"/><Relationship Id="rId9" Type="http://schemas.openxmlformats.org/officeDocument/2006/relationships/hyperlink" Target="http://www.leg.state.nv.us/Division/Legal/LawLibrary/NRS/NRS-21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1880-9B7D-4EC8-B5EA-D0665323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4</cp:revision>
  <cp:lastPrinted>2017-03-01T23:42:00Z</cp:lastPrinted>
  <dcterms:created xsi:type="dcterms:W3CDTF">2017-03-29T23:57:00Z</dcterms:created>
  <dcterms:modified xsi:type="dcterms:W3CDTF">2017-03-31T00:48:00Z</dcterms:modified>
</cp:coreProperties>
</file>